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text" w:horzAnchor="margin" w:tblpY="-166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2242"/>
        <w:gridCol w:w="2861"/>
      </w:tblGrid>
      <w:tr w:rsidR="00B30619">
        <w:trPr>
          <w:trHeight w:val="209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30619" w:rsidRDefault="007C3FB9">
            <w:pPr>
              <w:widowControl w:val="0"/>
              <w:tabs>
                <w:tab w:val="left" w:pos="5954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2"/>
                <w:szCs w:val="28"/>
              </w:rPr>
              <w:drawing>
                <wp:anchor distT="0" distB="0" distL="0" distR="0" simplePos="0" relativeHeight="3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1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0619" w:rsidRDefault="00B30619">
            <w:pPr>
              <w:widowControl w:val="0"/>
              <w:rPr>
                <w:sz w:val="28"/>
                <w:szCs w:val="28"/>
              </w:rPr>
            </w:pPr>
          </w:p>
          <w:p w:rsidR="00B30619" w:rsidRDefault="00B30619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9" w:rsidRDefault="00B30619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9" w:rsidRDefault="00B30619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30619" w:rsidRDefault="00B30619">
      <w:pPr>
        <w:jc w:val="center"/>
        <w:rPr>
          <w:b/>
          <w:sz w:val="28"/>
          <w:szCs w:val="28"/>
        </w:rPr>
      </w:pPr>
    </w:p>
    <w:p w:rsidR="00B30619" w:rsidRDefault="00B30619">
      <w:pPr>
        <w:jc w:val="center"/>
        <w:rPr>
          <w:b/>
          <w:sz w:val="28"/>
          <w:szCs w:val="28"/>
        </w:rPr>
      </w:pPr>
    </w:p>
    <w:p w:rsidR="00B30619" w:rsidRDefault="00B30619">
      <w:pPr>
        <w:jc w:val="center"/>
        <w:rPr>
          <w:b/>
          <w:sz w:val="28"/>
          <w:szCs w:val="28"/>
        </w:rPr>
      </w:pPr>
    </w:p>
    <w:p w:rsidR="00B30619" w:rsidRDefault="00B30619">
      <w:pPr>
        <w:jc w:val="center"/>
        <w:rPr>
          <w:b/>
          <w:sz w:val="28"/>
          <w:szCs w:val="28"/>
        </w:rPr>
      </w:pPr>
    </w:p>
    <w:p w:rsidR="00B30619" w:rsidRDefault="00B30619">
      <w:pPr>
        <w:jc w:val="center"/>
        <w:rPr>
          <w:b/>
          <w:sz w:val="28"/>
          <w:szCs w:val="28"/>
        </w:rPr>
      </w:pPr>
    </w:p>
    <w:p w:rsidR="00B30619" w:rsidRDefault="00B30619">
      <w:pPr>
        <w:jc w:val="center"/>
        <w:rPr>
          <w:b/>
          <w:sz w:val="28"/>
          <w:szCs w:val="28"/>
        </w:rPr>
      </w:pPr>
    </w:p>
    <w:p w:rsidR="00B30619" w:rsidRDefault="00B30619">
      <w:pPr>
        <w:jc w:val="center"/>
        <w:rPr>
          <w:b/>
          <w:sz w:val="36"/>
          <w:szCs w:val="36"/>
        </w:rPr>
      </w:pPr>
    </w:p>
    <w:p w:rsidR="00B30619" w:rsidRDefault="00B30619">
      <w:pPr>
        <w:jc w:val="center"/>
        <w:rPr>
          <w:b/>
          <w:sz w:val="36"/>
          <w:szCs w:val="36"/>
        </w:rPr>
      </w:pPr>
    </w:p>
    <w:p w:rsidR="00B30619" w:rsidRDefault="00B30619">
      <w:pPr>
        <w:jc w:val="center"/>
        <w:rPr>
          <w:b/>
          <w:sz w:val="36"/>
          <w:szCs w:val="36"/>
        </w:rPr>
      </w:pPr>
    </w:p>
    <w:p w:rsidR="00B30619" w:rsidRDefault="007C3F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ОТЧЕТ</w:t>
      </w:r>
    </w:p>
    <w:p w:rsidR="00B30619" w:rsidRDefault="00B30619">
      <w:pPr>
        <w:jc w:val="center"/>
        <w:rPr>
          <w:b/>
          <w:sz w:val="32"/>
          <w:szCs w:val="32"/>
        </w:rPr>
      </w:pPr>
    </w:p>
    <w:p w:rsidR="00B30619" w:rsidRDefault="007C3FB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B30619" w:rsidRDefault="007C3FB9">
      <w:pPr>
        <w:spacing w:line="276" w:lineRule="auto"/>
        <w:jc w:val="center"/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№65 "УЛЫБКА" ГОРОДА СТАВРОПОЛЯ</w:t>
      </w:r>
      <w:r>
        <w:rPr>
          <w:sz w:val="28"/>
          <w:szCs w:val="28"/>
        </w:rPr>
        <w:t xml:space="preserve"> в соответствии с показателями, характеризующими общие критерии </w:t>
      </w:r>
      <w:proofErr w:type="gramStart"/>
      <w:r>
        <w:rPr>
          <w:sz w:val="28"/>
          <w:szCs w:val="28"/>
        </w:rPr>
        <w:t xml:space="preserve">оценки качества </w:t>
      </w:r>
      <w:r>
        <w:rPr>
          <w:bCs/>
          <w:sz w:val="28"/>
          <w:szCs w:val="28"/>
        </w:rPr>
        <w:t>условий осуществления образовательной деятельности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B30619" w:rsidRDefault="00B30619">
      <w:pPr>
        <w:spacing w:line="276" w:lineRule="auto"/>
        <w:jc w:val="center"/>
        <w:rPr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B3061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B30619" w:rsidRDefault="007C3FB9">
      <w:pPr>
        <w:widowControl w:val="0"/>
        <w:tabs>
          <w:tab w:val="left" w:pos="0"/>
        </w:tabs>
        <w:jc w:val="center"/>
        <w:rPr>
          <w:bCs/>
          <w:spacing w:val="-7"/>
          <w:sz w:val="28"/>
          <w:szCs w:val="28"/>
        </w:rPr>
      </w:pPr>
      <w:bookmarkStart w:id="0" w:name="_GoBack"/>
      <w:bookmarkEnd w:id="0"/>
      <w:r>
        <w:rPr>
          <w:bCs/>
          <w:spacing w:val="-7"/>
          <w:sz w:val="28"/>
          <w:szCs w:val="28"/>
        </w:rPr>
        <w:t>г. Ставрополь, 2023</w:t>
      </w:r>
    </w:p>
    <w:p w:rsidR="00B30619" w:rsidRDefault="007C3FB9">
      <w:pPr>
        <w:spacing w:after="160" w:line="259" w:lineRule="auto"/>
        <w:rPr>
          <w:bCs/>
          <w:spacing w:val="-7"/>
          <w:sz w:val="28"/>
          <w:szCs w:val="28"/>
        </w:rPr>
      </w:pPr>
      <w:r>
        <w:lastRenderedPageBreak/>
        <w:br w:type="page"/>
      </w:r>
    </w:p>
    <w:p w:rsidR="00B30619" w:rsidRDefault="007C3F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Аналитический отчет</w:t>
      </w:r>
    </w:p>
    <w:p w:rsidR="00B30619" w:rsidRDefault="007C3FB9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B30619" w:rsidRDefault="007C3FB9">
      <w:pPr>
        <w:spacing w:line="276" w:lineRule="auto"/>
        <w:jc w:val="center"/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№65 "УЛЫБКА" ГОРОДА СТАВРОПОЛЯ</w:t>
      </w:r>
      <w:r>
        <w:rPr>
          <w:sz w:val="28"/>
          <w:szCs w:val="28"/>
        </w:rPr>
        <w:t xml:space="preserve"> в соответствии с показателями, характеризую</w:t>
      </w:r>
      <w:r>
        <w:rPr>
          <w:sz w:val="28"/>
          <w:szCs w:val="28"/>
        </w:rPr>
        <w:t xml:space="preserve">щими общие критерии </w:t>
      </w:r>
      <w:proofErr w:type="gramStart"/>
      <w:r>
        <w:rPr>
          <w:sz w:val="28"/>
          <w:szCs w:val="28"/>
        </w:rPr>
        <w:t xml:space="preserve">оценки качества </w:t>
      </w:r>
      <w:r>
        <w:rPr>
          <w:bCs/>
          <w:sz w:val="28"/>
          <w:szCs w:val="28"/>
        </w:rPr>
        <w:t>условий осуществления образовательной деятельности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B30619" w:rsidRDefault="00B30619">
      <w:pPr>
        <w:spacing w:line="276" w:lineRule="auto"/>
        <w:jc w:val="center"/>
      </w:pPr>
    </w:p>
    <w:p w:rsidR="00B30619" w:rsidRDefault="00B30619">
      <w:pPr>
        <w:spacing w:line="276" w:lineRule="auto"/>
        <w:jc w:val="center"/>
        <w:rPr>
          <w:sz w:val="28"/>
          <w:szCs w:val="28"/>
        </w:rPr>
      </w:pPr>
    </w:p>
    <w:p w:rsidR="00B30619" w:rsidRDefault="007C3FB9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619" w:rsidRDefault="007C3FB9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Сбор и обобщение информации о качестве условий </w:t>
      </w:r>
      <w:r>
        <w:rPr>
          <w:bCs/>
          <w:sz w:val="28"/>
          <w:szCs w:val="28"/>
        </w:rPr>
        <w:t>осуществления образовательной деятел</w:t>
      </w:r>
      <w:r>
        <w:rPr>
          <w:bCs/>
          <w:sz w:val="28"/>
          <w:szCs w:val="28"/>
        </w:rPr>
        <w:t xml:space="preserve">ьности </w:t>
      </w:r>
      <w:r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№65 "УЛЫБКА" ГОРОДА СТАВРОПОЛЯ</w:t>
      </w:r>
      <w:r>
        <w:rPr>
          <w:sz w:val="28"/>
          <w:szCs w:val="28"/>
        </w:rPr>
        <w:t xml:space="preserve"> осуществлено организацией-оператором – АНО «Северо-Кавказский центр профессионально-общественной аккредитации» </w:t>
      </w:r>
      <w:r>
        <w:rPr>
          <w:color w:val="000000"/>
          <w:sz w:val="28"/>
          <w:szCs w:val="28"/>
        </w:rPr>
        <w:t>во испол</w:t>
      </w:r>
      <w:r>
        <w:rPr>
          <w:color w:val="000000"/>
          <w:sz w:val="28"/>
          <w:szCs w:val="28"/>
        </w:rPr>
        <w:t xml:space="preserve">нение ч.2 ст.95 Федерального Закона от 29.12.2012г.                 № 273-ФЗ «Об образовании в Российской Федерации» </w:t>
      </w:r>
      <w:r>
        <w:rPr>
          <w:sz w:val="28"/>
          <w:szCs w:val="28"/>
        </w:rPr>
        <w:t>в соответствии со следующими нормативно-правовыми актами и методическими рекомендациями:</w:t>
      </w:r>
      <w:proofErr w:type="gramEnd"/>
    </w:p>
    <w:p w:rsidR="00B30619" w:rsidRDefault="007C3FB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Правительства Российской Федераци</w:t>
      </w:r>
      <w:r>
        <w:rPr>
          <w:sz w:val="28"/>
          <w:szCs w:val="28"/>
        </w:rPr>
        <w:t xml:space="preserve">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экспертизы»</w:t>
      </w:r>
      <w:r>
        <w:rPr>
          <w:sz w:val="28"/>
          <w:szCs w:val="28"/>
        </w:rPr>
        <w:t>.</w:t>
      </w:r>
    </w:p>
    <w:p w:rsidR="00B30619" w:rsidRDefault="007C3FB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Минтруда России от 31 мая 2018 г. № 344н «Об утверждении Единого порядка расчета показателей, характеризующих общие критерии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в сфере культуры, охраны здоровья, образования, социального обслуж</w:t>
      </w:r>
      <w:r>
        <w:rPr>
          <w:sz w:val="28"/>
          <w:szCs w:val="28"/>
        </w:rPr>
        <w:t>ивания и федеральными учреждениями медико-социальной экспертизы».</w:t>
      </w:r>
    </w:p>
    <w:p w:rsidR="00B30619" w:rsidRDefault="007C3FB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Министерства просвещения Российской Федерации от 13.03.2019 № 114 "Об утверждении показателей, характеризующих общие критерии </w:t>
      </w:r>
      <w:proofErr w:type="gramStart"/>
      <w:r>
        <w:rPr>
          <w:sz w:val="28"/>
          <w:szCs w:val="28"/>
        </w:rPr>
        <w:t xml:space="preserve">оценки качества условий осуществления образовательной </w:t>
      </w:r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</w:t>
      </w:r>
      <w:r>
        <w:rPr>
          <w:sz w:val="28"/>
          <w:szCs w:val="28"/>
        </w:rPr>
        <w:t>овательным программам".</w:t>
      </w:r>
    </w:p>
    <w:p w:rsidR="00B30619" w:rsidRDefault="007C3FB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4. Методические рекомендации к Единому порядку </w:t>
      </w:r>
      <w:proofErr w:type="gramStart"/>
      <w:r>
        <w:rPr>
          <w:sz w:val="28"/>
          <w:szCs w:val="28"/>
        </w:rPr>
        <w:t>расчета показателей независимой оценки качества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организациями, осуществляющими образовательную деятельность по основным общеобразовате</w:t>
      </w:r>
      <w:r>
        <w:rPr>
          <w:sz w:val="28"/>
          <w:szCs w:val="28"/>
        </w:rPr>
        <w:t xml:space="preserve">льным программам, образовательным программам среднего профессионального образования, </w:t>
      </w:r>
      <w:r>
        <w:rPr>
          <w:sz w:val="28"/>
          <w:szCs w:val="28"/>
        </w:rPr>
        <w:lastRenderedPageBreak/>
        <w:t>основным программам профессионального обучения, дополнительным общеобразовательным программам (с учетом отраслевых особенностей).</w:t>
      </w:r>
    </w:p>
    <w:p w:rsidR="00B30619" w:rsidRDefault="007C3FB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Общие исходные сведения об организации</w:t>
      </w:r>
      <w:r>
        <w:rPr>
          <w:sz w:val="28"/>
          <w:szCs w:val="28"/>
        </w:rPr>
        <w:t>:</w:t>
      </w:r>
    </w:p>
    <w:p w:rsidR="00D41297" w:rsidRPr="00D41297" w:rsidRDefault="007C3FB9">
      <w:pPr>
        <w:pStyle w:val="af2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spacing w:beforeAutospacing="1"/>
        <w:jc w:val="both"/>
        <w:textAlignment w:val="top"/>
      </w:pPr>
      <w:r>
        <w:rPr>
          <w:b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МУНИЦИПАЛЬНОЕ БЮДЖЕТНОЕ </w:t>
      </w:r>
    </w:p>
    <w:p w:rsidR="00B30619" w:rsidRDefault="007C3FB9">
      <w:pPr>
        <w:pStyle w:val="af2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spacing w:beforeAutospacing="1"/>
        <w:jc w:val="both"/>
        <w:textAlignment w:val="top"/>
      </w:pPr>
      <w:r>
        <w:rPr>
          <w:color w:val="000000"/>
          <w:sz w:val="28"/>
          <w:szCs w:val="28"/>
        </w:rPr>
        <w:t>ДОШКОЛЬНОЕ ОБРАЗОВАТЕЛЬНОЕ УЧРЕЖДЕНИЕ ЦЕНТР РАЗВИТИЯ РЕБЕНКА - ДЕТСКИЙ САД №65 "УЛЫБКА" ГОРОДА СТАВРОПОЛЯ</w:t>
      </w:r>
      <w:r>
        <w:rPr>
          <w:sz w:val="28"/>
          <w:szCs w:val="28"/>
        </w:rPr>
        <w:t xml:space="preserve"> </w:t>
      </w:r>
    </w:p>
    <w:p w:rsidR="00B30619" w:rsidRDefault="007C3FB9">
      <w:pPr>
        <w:pStyle w:val="af2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contextualSpacing w:val="0"/>
        <w:jc w:val="both"/>
        <w:textAlignment w:val="top"/>
      </w:pPr>
      <w:r>
        <w:rPr>
          <w:b/>
          <w:sz w:val="28"/>
          <w:szCs w:val="28"/>
        </w:rPr>
        <w:t>Юридический адрес организации: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355044, Ставропольский край, г Ставрополь, </w:t>
      </w:r>
      <w:proofErr w:type="spellStart"/>
      <w:proofErr w:type="gramStart"/>
      <w:r>
        <w:rPr>
          <w:color w:val="000000"/>
          <w:sz w:val="28"/>
          <w:szCs w:val="28"/>
        </w:rPr>
        <w:t>ул</w:t>
      </w:r>
      <w:proofErr w:type="spellEnd"/>
      <w:proofErr w:type="gramEnd"/>
      <w:r>
        <w:rPr>
          <w:color w:val="000000"/>
          <w:sz w:val="28"/>
          <w:szCs w:val="28"/>
        </w:rPr>
        <w:t xml:space="preserve"> Васильева, д 25.</w:t>
      </w:r>
    </w:p>
    <w:p w:rsidR="00B30619" w:rsidRDefault="007C3FB9">
      <w:pPr>
        <w:pStyle w:val="af2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contextualSpacing w:val="0"/>
        <w:jc w:val="both"/>
        <w:textAlignment w:val="top"/>
      </w:pPr>
      <w:r>
        <w:rPr>
          <w:b/>
          <w:sz w:val="28"/>
          <w:szCs w:val="28"/>
        </w:rPr>
        <w:t>Период проведения дистанционного этапа сбора информации</w:t>
      </w:r>
      <w:r>
        <w:rPr>
          <w:sz w:val="28"/>
          <w:szCs w:val="28"/>
        </w:rPr>
        <w:t xml:space="preserve">: с 25.06.2023 по 30.08.2023 гг. </w:t>
      </w:r>
    </w:p>
    <w:p w:rsidR="00B30619" w:rsidRDefault="007C3FB9">
      <w:pPr>
        <w:pStyle w:val="af2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Дата визита представителей организации-оператора в организацию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19.09.2023 г.</w:t>
      </w:r>
    </w:p>
    <w:p w:rsidR="00B30619" w:rsidRDefault="007C3FB9">
      <w:pPr>
        <w:pStyle w:val="af2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Численность респондентов в образовательной организации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268 </w:t>
      </w:r>
      <w:r>
        <w:rPr>
          <w:sz w:val="28"/>
          <w:szCs w:val="28"/>
        </w:rPr>
        <w:t>чел.</w:t>
      </w:r>
    </w:p>
    <w:p w:rsidR="00B30619" w:rsidRDefault="00B30619">
      <w:pPr>
        <w:pStyle w:val="af2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:rsidR="00B30619" w:rsidRDefault="007C3FB9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Рекомендации членов вн</w:t>
      </w:r>
      <w:r>
        <w:rPr>
          <w:b/>
          <w:sz w:val="28"/>
          <w:szCs w:val="28"/>
          <w:u w:val="single"/>
        </w:rPr>
        <w:t>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осуществления образовательной деятельности </w:t>
      </w:r>
      <w:r>
        <w:rPr>
          <w:color w:val="000000"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№65 "УЛЫБКА" ГОРОДА СТАВРОПОЛЯ</w:t>
      </w:r>
    </w:p>
    <w:p w:rsidR="00B30619" w:rsidRDefault="00B30619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5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75"/>
        <w:gridCol w:w="7101"/>
      </w:tblGrid>
      <w:tr w:rsidR="00B30619">
        <w:tc>
          <w:tcPr>
            <w:tcW w:w="2675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both"/>
            </w:pPr>
            <w:r>
              <w:rPr>
                <w:sz w:val="22"/>
              </w:rPr>
              <w:t>Критерий 1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>Открытость и доступность информации об организации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  <w:sz w:val="22"/>
              </w:rPr>
              <w:t>Пок</w:t>
            </w:r>
            <w:proofErr w:type="spellEnd"/>
            <w:r>
              <w:rPr>
                <w:i/>
                <w:iCs/>
                <w:sz w:val="22"/>
              </w:rPr>
              <w:t>. 1.3.</w:t>
            </w: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Удовлетворенность получателей услуг открытостью и доступностью информации об образовательной организации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B30619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респондентов:</w:t>
            </w:r>
          </w:p>
          <w:p w:rsidR="00B30619" w:rsidRDefault="007C3FB9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B30619">
        <w:tc>
          <w:tcPr>
            <w:tcW w:w="2675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>Критерий 2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 xml:space="preserve">Комфортность условий </w:t>
            </w:r>
            <w:r>
              <w:rPr>
                <w:sz w:val="22"/>
              </w:rPr>
              <w:t>предоставления услуг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  <w:sz w:val="22"/>
              </w:rPr>
              <w:t>Пок</w:t>
            </w:r>
            <w:proofErr w:type="spellEnd"/>
            <w:r>
              <w:rPr>
                <w:i/>
                <w:iCs/>
                <w:sz w:val="22"/>
              </w:rPr>
              <w:t>. 2.3.</w:t>
            </w: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Удовлетворенность комфортностью условий предоставления услуг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B30619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респондентов:</w:t>
            </w:r>
          </w:p>
          <w:p w:rsidR="00B30619" w:rsidRDefault="007C3FB9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B30619">
        <w:tc>
          <w:tcPr>
            <w:tcW w:w="2675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>Критерий 3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>Доступность услуг для инвалидов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  <w:sz w:val="22"/>
              </w:rPr>
              <w:t>Пок</w:t>
            </w:r>
            <w:proofErr w:type="spellEnd"/>
            <w:r>
              <w:rPr>
                <w:i/>
                <w:iCs/>
                <w:sz w:val="22"/>
              </w:rPr>
              <w:t>. 3.1.</w:t>
            </w: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 xml:space="preserve">Оборудование территории, прилегающей к организации, и </w:t>
            </w:r>
            <w:r>
              <w:rPr>
                <w:i/>
                <w:iCs/>
                <w:sz w:val="22"/>
              </w:rPr>
              <w:t>ее помещений с учетом доступности для инвалидов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B30619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pStyle w:val="af2"/>
              <w:widowControl w:val="0"/>
              <w:ind w:left="352" w:hanging="352"/>
              <w:jc w:val="both"/>
            </w:pPr>
            <w:r>
              <w:t>1. Обеспечить наличие с доступность специально оборудованных санитарно-гигиенических помещений:</w:t>
            </w:r>
          </w:p>
          <w:p w:rsidR="00B30619" w:rsidRDefault="007C3FB9">
            <w:pPr>
              <w:pStyle w:val="af2"/>
              <w:widowControl w:val="0"/>
              <w:ind w:left="352" w:hanging="352"/>
              <w:jc w:val="both"/>
            </w:pPr>
            <w:r>
              <w:t xml:space="preserve">- оснастить санузлы и уборные специализированными опорными поручнями, кнопками вызова персонала </w:t>
            </w:r>
            <w:r>
              <w:t>образовательной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  <w:sz w:val="22"/>
              </w:rPr>
              <w:t>Пок</w:t>
            </w:r>
            <w:proofErr w:type="spellEnd"/>
            <w:r>
              <w:rPr>
                <w:i/>
                <w:iCs/>
                <w:sz w:val="22"/>
              </w:rPr>
              <w:t>. 3.2.</w:t>
            </w: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 xml:space="preserve">Обеспечение в образовательной организации условий доступности, позволяющих инвалидам получать образовательные услуги наравне с </w:t>
            </w:r>
            <w:r>
              <w:rPr>
                <w:i/>
                <w:iCs/>
                <w:sz w:val="22"/>
              </w:rPr>
              <w:t>другими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B30619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pStyle w:val="af2"/>
              <w:widowControl w:val="0"/>
              <w:numPr>
                <w:ilvl w:val="0"/>
                <w:numId w:val="4"/>
              </w:numPr>
              <w:ind w:left="335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схемы).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7C3FB9">
            <w:pPr>
              <w:widowControl w:val="0"/>
              <w:jc w:val="both"/>
            </w:pP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>. 3.3.</w:t>
            </w: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</w:pPr>
            <w:r>
              <w:rPr>
                <w:sz w:val="22"/>
              </w:rPr>
              <w:t>Удовлетворенность качеством условий предоставления услуг для инвалидов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B30619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респондентов</w:t>
            </w:r>
            <w:proofErr w:type="gramStart"/>
            <w:r>
              <w:rPr>
                <w:sz w:val="22"/>
                <w:u w:val="single"/>
              </w:rPr>
              <w:t xml:space="preserve"> :</w:t>
            </w:r>
            <w:proofErr w:type="gramEnd"/>
          </w:p>
          <w:p w:rsidR="00B30619" w:rsidRDefault="007C3FB9">
            <w:pPr>
              <w:widowControl w:val="0"/>
              <w:jc w:val="both"/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B30619">
        <w:tc>
          <w:tcPr>
            <w:tcW w:w="2675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>Критерий 4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>Доброжелательность, вежливость работников организации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B30619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респондентов</w:t>
            </w:r>
            <w:proofErr w:type="gramStart"/>
            <w:r>
              <w:rPr>
                <w:sz w:val="22"/>
                <w:u w:val="single"/>
              </w:rPr>
              <w:t xml:space="preserve"> :</w:t>
            </w:r>
            <w:proofErr w:type="gramEnd"/>
          </w:p>
          <w:p w:rsidR="00B30619" w:rsidRDefault="007C3FB9">
            <w:pPr>
              <w:widowControl w:val="0"/>
              <w:jc w:val="both"/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B30619">
        <w:tc>
          <w:tcPr>
            <w:tcW w:w="2675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>Критерий 5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B30619" w:rsidRDefault="007C3FB9">
            <w:pPr>
              <w:widowControl w:val="0"/>
              <w:jc w:val="center"/>
            </w:pPr>
            <w:r>
              <w:rPr>
                <w:sz w:val="22"/>
              </w:rPr>
              <w:t>Удовлетворенность условиями оказания услуг</w:t>
            </w:r>
          </w:p>
        </w:tc>
      </w:tr>
      <w:tr w:rsidR="00B30619">
        <w:tc>
          <w:tcPr>
            <w:tcW w:w="2675" w:type="dxa"/>
            <w:shd w:val="clear" w:color="auto" w:fill="auto"/>
          </w:tcPr>
          <w:p w:rsidR="00B30619" w:rsidRDefault="00B30619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B30619" w:rsidRDefault="007C3FB9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респондентов</w:t>
            </w:r>
            <w:proofErr w:type="gramStart"/>
            <w:r>
              <w:rPr>
                <w:sz w:val="22"/>
                <w:u w:val="single"/>
              </w:rPr>
              <w:t xml:space="preserve"> :</w:t>
            </w:r>
            <w:proofErr w:type="gramEnd"/>
          </w:p>
          <w:p w:rsidR="00B30619" w:rsidRDefault="007C3FB9">
            <w:pPr>
              <w:widowControl w:val="0"/>
              <w:jc w:val="both"/>
            </w:pPr>
            <w:r>
              <w:rPr>
                <w:sz w:val="22"/>
              </w:rPr>
              <w:t>1. Обновить детское оборудование на детских площадках</w:t>
            </w:r>
          </w:p>
        </w:tc>
      </w:tr>
    </w:tbl>
    <w:p w:rsidR="00B30619" w:rsidRDefault="00B30619">
      <w:pPr>
        <w:pStyle w:val="af2"/>
        <w:ind w:left="709"/>
        <w:jc w:val="both"/>
        <w:rPr>
          <w:sz w:val="28"/>
          <w:szCs w:val="28"/>
        </w:rPr>
      </w:pPr>
    </w:p>
    <w:p w:rsidR="00B30619" w:rsidRDefault="007C3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</w:rPr>
        <w:t xml:space="preserve">МУНИЦИПАЛЬНОЕ БЮДЖЕТНОЕ </w:t>
      </w:r>
      <w:r>
        <w:rPr>
          <w:color w:val="000000"/>
          <w:sz w:val="28"/>
          <w:szCs w:val="28"/>
        </w:rPr>
        <w:t>ДОШКОЛЬНОЕ ОБРАЗОВАТЕЛЬНОЕ УЧРЕЖДЕНИЕ ЦЕНТР РАЗВИТИЯ РЕБЕНКА - ДЕТСКИЙ САД №65 "УЛЫБКА" ГОРОДА СТАВРОПОЛЯ,</w:t>
      </w:r>
      <w:r>
        <w:rPr>
          <w:sz w:val="28"/>
          <w:szCs w:val="28"/>
        </w:rPr>
        <w:t xml:space="preserve"> составило </w:t>
      </w:r>
      <w:r>
        <w:rPr>
          <w:b/>
          <w:color w:val="000000" w:themeColor="text1"/>
          <w:sz w:val="28"/>
          <w:szCs w:val="28"/>
        </w:rPr>
        <w:t>95,98 балла</w:t>
      </w:r>
      <w:r>
        <w:rPr>
          <w:sz w:val="28"/>
          <w:szCs w:val="28"/>
        </w:rPr>
        <w:t>. Детализация показателей общих критериев, участвующих в формировании интегрального значения приведена в Приложении №1.</w:t>
      </w:r>
    </w:p>
    <w:p w:rsidR="00B30619" w:rsidRDefault="00B30619">
      <w:pPr>
        <w:rPr>
          <w:sz w:val="28"/>
          <w:szCs w:val="28"/>
        </w:rPr>
      </w:pPr>
    </w:p>
    <w:p w:rsidR="00B30619" w:rsidRDefault="007C3F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</w:t>
      </w:r>
      <w:r>
        <w:rPr>
          <w:sz w:val="28"/>
          <w:szCs w:val="28"/>
        </w:rPr>
        <w:t>я,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показателями, характеризующими общие критерии оценки качества условий осуществлени</w:t>
      </w:r>
      <w:r>
        <w:rPr>
          <w:sz w:val="28"/>
          <w:szCs w:val="28"/>
        </w:rPr>
        <w:t xml:space="preserve">я образовательной деятельности образовательными организациями, в отношении которых проводится независимая оценка, подлежат передаче в Общественный совет при администрации города Ставрополя </w:t>
      </w:r>
      <w:r>
        <w:rPr>
          <w:sz w:val="28"/>
          <w:szCs w:val="28"/>
        </w:rPr>
        <w:br/>
        <w:t>по проведению независимой оценки качества условий осуществления об</w:t>
      </w:r>
      <w:r>
        <w:rPr>
          <w:sz w:val="28"/>
          <w:szCs w:val="28"/>
        </w:rPr>
        <w:t>разовательной деятельности муниципальными образовательными</w:t>
      </w:r>
      <w:proofErr w:type="gramEnd"/>
      <w:r>
        <w:rPr>
          <w:sz w:val="28"/>
          <w:szCs w:val="28"/>
        </w:rPr>
        <w:t xml:space="preserve"> учреждениями города Ставрополя, а также иными учреждениями, осуществляющими образовательную деятельность за счет бюджетных ассигнований бюджета города Ставрополя, для принятия решения о присвоении </w:t>
      </w:r>
      <w:r>
        <w:rPr>
          <w:sz w:val="28"/>
          <w:szCs w:val="28"/>
        </w:rPr>
        <w:t>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организацией.</w:t>
      </w:r>
    </w:p>
    <w:p w:rsidR="00B30619" w:rsidRDefault="00B30619">
      <w:pPr>
        <w:ind w:firstLine="709"/>
        <w:jc w:val="both"/>
        <w:rPr>
          <w:b/>
          <w:sz w:val="28"/>
          <w:szCs w:val="28"/>
        </w:rPr>
      </w:pPr>
    </w:p>
    <w:p w:rsidR="00B30619" w:rsidRDefault="00B30619">
      <w:pPr>
        <w:ind w:firstLine="709"/>
        <w:jc w:val="both"/>
        <w:rPr>
          <w:b/>
          <w:sz w:val="28"/>
          <w:szCs w:val="28"/>
        </w:rPr>
      </w:pPr>
    </w:p>
    <w:p w:rsidR="00B30619" w:rsidRDefault="007C3F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30619" w:rsidRDefault="007C3F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  <w:t xml:space="preserve">Е.С. </w:t>
      </w:r>
      <w:proofErr w:type="spellStart"/>
      <w:r>
        <w:rPr>
          <w:b/>
          <w:sz w:val="28"/>
          <w:szCs w:val="28"/>
        </w:rPr>
        <w:t>Квасова</w:t>
      </w:r>
      <w:proofErr w:type="spellEnd"/>
    </w:p>
    <w:p w:rsidR="00B30619" w:rsidRDefault="00B30619">
      <w:pPr>
        <w:rPr>
          <w:b/>
          <w:sz w:val="28"/>
          <w:szCs w:val="28"/>
        </w:rPr>
      </w:pPr>
    </w:p>
    <w:p w:rsidR="00B30619" w:rsidRDefault="00B30619">
      <w:pPr>
        <w:rPr>
          <w:sz w:val="28"/>
          <w:szCs w:val="28"/>
        </w:rPr>
      </w:pPr>
    </w:p>
    <w:sectPr w:rsidR="00B30619">
      <w:headerReference w:type="default" r:id="rId10"/>
      <w:pgSz w:w="11906" w:h="16838"/>
      <w:pgMar w:top="1135" w:right="566" w:bottom="993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B9" w:rsidRDefault="007C3FB9">
      <w:r>
        <w:separator/>
      </w:r>
    </w:p>
  </w:endnote>
  <w:endnote w:type="continuationSeparator" w:id="0">
    <w:p w:rsidR="007C3FB9" w:rsidRDefault="007C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B9" w:rsidRDefault="007C3FB9">
      <w:r>
        <w:separator/>
      </w:r>
    </w:p>
  </w:footnote>
  <w:footnote w:type="continuationSeparator" w:id="0">
    <w:p w:rsidR="007C3FB9" w:rsidRDefault="007C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83319"/>
      <w:docPartObj>
        <w:docPartGallery w:val="Page Numbers (Top of Page)"/>
        <w:docPartUnique/>
      </w:docPartObj>
    </w:sdtPr>
    <w:sdtEndPr/>
    <w:sdtContent>
      <w:p w:rsidR="00B30619" w:rsidRDefault="007C3FB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41297">
          <w:rPr>
            <w:noProof/>
          </w:rPr>
          <w:t>5</w:t>
        </w:r>
        <w:r>
          <w:fldChar w:fldCharType="end"/>
        </w:r>
      </w:p>
    </w:sdtContent>
  </w:sdt>
  <w:p w:rsidR="00B30619" w:rsidRDefault="007C3FB9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E750E"/>
    <w:multiLevelType w:val="multilevel"/>
    <w:tmpl w:val="B0F2B4A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3224215"/>
    <w:multiLevelType w:val="multilevel"/>
    <w:tmpl w:val="BC300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D479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7D056FA4"/>
    <w:multiLevelType w:val="multilevel"/>
    <w:tmpl w:val="8C88D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DE048F"/>
    <w:multiLevelType w:val="multilevel"/>
    <w:tmpl w:val="37701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00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619"/>
    <w:rsid w:val="007C3FB9"/>
    <w:rsid w:val="00B30619"/>
    <w:rsid w:val="00D4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1BA"/>
  </w:style>
  <w:style w:type="character" w:customStyle="1" w:styleId="a5">
    <w:name w:val="Нижний колонтитул Знак"/>
    <w:basedOn w:val="a0"/>
    <w:link w:val="a6"/>
    <w:uiPriority w:val="99"/>
    <w:qFormat/>
    <w:rsid w:val="008B31BA"/>
  </w:style>
  <w:style w:type="character" w:customStyle="1" w:styleId="-">
    <w:name w:val="Интернет-ссылка"/>
    <w:basedOn w:val="a0"/>
    <w:uiPriority w:val="99"/>
    <w:unhideWhenUsed/>
    <w:rsid w:val="00EB4910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qFormat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6DDE"/>
    <w:rPr>
      <w:b/>
      <w:bCs/>
    </w:rPr>
  </w:style>
  <w:style w:type="character" w:styleId="aa">
    <w:name w:val="Emphasis"/>
    <w:basedOn w:val="a0"/>
    <w:uiPriority w:val="20"/>
    <w:qFormat/>
    <w:rsid w:val="00525EF1"/>
    <w:rPr>
      <w:i/>
      <w:iCs/>
    </w:rPr>
  </w:style>
  <w:style w:type="character" w:customStyle="1" w:styleId="val">
    <w:name w:val="val"/>
    <w:basedOn w:val="a0"/>
    <w:qFormat/>
    <w:rsid w:val="004D5F54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ConsPlusNormal">
    <w:name w:val="ConsPlusNormal"/>
    <w:qFormat/>
    <w:rsid w:val="001045A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tabs>
        <w:tab w:val="num" w:pos="0"/>
        <w:tab w:val="left" w:pos="312"/>
      </w:tabs>
      <w:spacing w:before="240" w:after="60"/>
      <w:ind w:left="142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tabs>
        <w:tab w:val="num" w:pos="0"/>
      </w:tabs>
      <w:spacing w:before="120" w:after="120"/>
      <w:ind w:left="2280" w:hanging="864"/>
      <w:outlineLvl w:val="3"/>
    </w:pPr>
    <w:rPr>
      <w:rFonts w:ascii="Liberation Serif" w:eastAsia="SimSun" w:hAnsi="Liberation Serif" w:cs="Mangal"/>
      <w:b/>
      <w:bCs/>
      <w:lang w:eastAsia="zh-CN"/>
    </w:rPr>
  </w:style>
  <w:style w:type="paragraph" w:styleId="a8">
    <w:name w:val="Balloon Text"/>
    <w:basedOn w:val="a"/>
    <w:link w:val="a7"/>
    <w:uiPriority w:val="99"/>
    <w:semiHidden/>
    <w:unhideWhenUsed/>
    <w:qFormat/>
    <w:rsid w:val="00F97998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525EF1"/>
    <w:pPr>
      <w:spacing w:beforeAutospacing="1" w:afterAutospacing="1"/>
    </w:pPr>
  </w:style>
  <w:style w:type="paragraph" w:customStyle="1" w:styleId="-11">
    <w:name w:val="Цветной список - Акцент 11"/>
    <w:basedOn w:val="a"/>
    <w:qFormat/>
    <w:rsid w:val="00782F1A"/>
    <w:pPr>
      <w:widowControl w:val="0"/>
      <w:tabs>
        <w:tab w:val="num" w:pos="0"/>
        <w:tab w:val="left" w:pos="993"/>
      </w:tabs>
      <w:spacing w:before="120" w:after="60"/>
      <w:ind w:left="360" w:hanging="360"/>
      <w:jc w:val="both"/>
    </w:pPr>
    <w:rPr>
      <w:rFonts w:ascii="Times New Roman CYR" w:hAnsi="Times New Roman CYR"/>
    </w:rPr>
  </w:style>
  <w:style w:type="paragraph" w:customStyle="1" w:styleId="af4">
    <w:name w:val="Содержимое врезки"/>
    <w:basedOn w:val="a"/>
    <w:qFormat/>
  </w:style>
  <w:style w:type="numbering" w:customStyle="1" w:styleId="61">
    <w:name w:val="Стиль61"/>
    <w:uiPriority w:val="99"/>
    <w:qFormat/>
    <w:rsid w:val="00F06582"/>
  </w:style>
  <w:style w:type="table" w:styleId="af5">
    <w:name w:val="Table Grid"/>
    <w:basedOn w:val="a1"/>
    <w:uiPriority w:val="39"/>
    <w:rsid w:val="00D4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D4B7-09FE-4CFC-882B-F2AE7594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5</Pages>
  <Words>1017</Words>
  <Characters>5799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49</cp:revision>
  <cp:lastPrinted>2019-07-24T18:58:00Z</cp:lastPrinted>
  <dcterms:created xsi:type="dcterms:W3CDTF">2021-12-12T16:03:00Z</dcterms:created>
  <dcterms:modified xsi:type="dcterms:W3CDTF">2024-10-21T07:39:00Z</dcterms:modified>
  <dc:language>ru-RU</dc:language>
</cp:coreProperties>
</file>